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EC67" w14:textId="089C8CB7" w:rsidR="006B2218" w:rsidRDefault="00542534" w:rsidP="006B2218">
      <w:pPr>
        <w:rPr>
          <w:rFonts w:ascii="Georgia" w:hAnsi="Georgia"/>
        </w:rPr>
      </w:pPr>
      <w:r>
        <w:rPr>
          <w:rFonts w:ascii="Georgia" w:hAnsi="Georgia"/>
        </w:rPr>
        <w:t>April 26</w:t>
      </w:r>
      <w:r w:rsidR="004A51D2">
        <w:rPr>
          <w:rFonts w:ascii="Georgia" w:hAnsi="Georgia"/>
        </w:rPr>
        <w:t>, 2021</w:t>
      </w:r>
    </w:p>
    <w:p w14:paraId="4EE8D561" w14:textId="77777777" w:rsidR="006B2218" w:rsidRDefault="006B2218" w:rsidP="006B2218">
      <w:pPr>
        <w:rPr>
          <w:rFonts w:ascii="Georgia" w:hAnsi="Georgia"/>
        </w:rPr>
      </w:pPr>
    </w:p>
    <w:p w14:paraId="554EB949" w14:textId="77777777" w:rsidR="006B2218" w:rsidRDefault="006B2218" w:rsidP="006B2218">
      <w:pPr>
        <w:rPr>
          <w:rFonts w:ascii="Georgia" w:hAnsi="Georgia"/>
        </w:rPr>
      </w:pPr>
      <w:r>
        <w:rPr>
          <w:rFonts w:ascii="Georgia" w:hAnsi="Georgia"/>
        </w:rPr>
        <w:t>Dear Clients,</w:t>
      </w:r>
    </w:p>
    <w:p w14:paraId="4827178F" w14:textId="77777777" w:rsidR="006B2218" w:rsidRDefault="006B2218" w:rsidP="006B2218">
      <w:pPr>
        <w:rPr>
          <w:rFonts w:ascii="Georgia" w:hAnsi="Georgia"/>
        </w:rPr>
      </w:pPr>
    </w:p>
    <w:p w14:paraId="1EBFB453" w14:textId="028EC857" w:rsidR="006B2218" w:rsidRDefault="004626C1" w:rsidP="006B2218">
      <w:pPr>
        <w:rPr>
          <w:rFonts w:ascii="Georgia" w:hAnsi="Georgia"/>
          <w:vertAlign w:val="superscript"/>
        </w:rPr>
      </w:pPr>
      <w:r>
        <w:rPr>
          <w:rFonts w:ascii="Georgia" w:hAnsi="Georgia"/>
        </w:rPr>
        <w:t>US Equities increased by 6.2% in the first quarter with a new all-time high on March 26</w:t>
      </w:r>
      <w:r w:rsidRPr="004626C1">
        <w:rPr>
          <w:rFonts w:ascii="Georgia" w:hAnsi="Georgia"/>
          <w:vertAlign w:val="superscript"/>
        </w:rPr>
        <w:t>th</w:t>
      </w:r>
      <w:r>
        <w:rPr>
          <w:rFonts w:ascii="Georgia" w:hAnsi="Georgia"/>
        </w:rPr>
        <w:t xml:space="preserve"> when the S&amp;P 500 closed at 3</w:t>
      </w:r>
      <w:r w:rsidR="00CC22EB">
        <w:rPr>
          <w:rFonts w:ascii="Georgia" w:hAnsi="Georgia"/>
        </w:rPr>
        <w:t>,</w:t>
      </w:r>
      <w:r>
        <w:rPr>
          <w:rFonts w:ascii="Georgia" w:hAnsi="Georgia"/>
        </w:rPr>
        <w:t>975.  The Barclay’s US Aggregate Bond Index, which reflects the US investment grade bond market, decreased by 3.4% as interest rates were rising</w:t>
      </w:r>
      <w:r w:rsidR="006B2218">
        <w:rPr>
          <w:rFonts w:ascii="Georgia" w:hAnsi="Georgia"/>
        </w:rPr>
        <w:t>.</w:t>
      </w:r>
      <w:r w:rsidR="006B2218" w:rsidRPr="00834935">
        <w:rPr>
          <w:rFonts w:ascii="Georgia" w:hAnsi="Georgia"/>
          <w:vertAlign w:val="superscript"/>
        </w:rPr>
        <w:t>1</w:t>
      </w:r>
      <w:r w:rsidR="00600CE0">
        <w:rPr>
          <w:rFonts w:ascii="Georgia" w:hAnsi="Georgia"/>
          <w:vertAlign w:val="superscript"/>
        </w:rPr>
        <w:t xml:space="preserve"> </w:t>
      </w:r>
      <w:r w:rsidR="0032666C">
        <w:rPr>
          <w:rFonts w:ascii="Georgia" w:hAnsi="Georgia"/>
          <w:vertAlign w:val="superscript"/>
        </w:rPr>
        <w:t xml:space="preserve"> </w:t>
      </w:r>
      <w:r>
        <w:rPr>
          <w:rFonts w:ascii="Georgia" w:hAnsi="Georgia"/>
          <w:vertAlign w:val="superscript"/>
        </w:rPr>
        <w:t xml:space="preserve"> </w:t>
      </w:r>
      <w:r>
        <w:rPr>
          <w:rFonts w:ascii="Georgia" w:hAnsi="Georgia"/>
        </w:rPr>
        <w:t>Interest rates have increased due to concerns that the fiscal stimulus along with the vaccine distribution will lead to higher levers of economic growth and inflation.</w:t>
      </w:r>
      <w:r w:rsidR="00DD1158">
        <w:rPr>
          <w:rFonts w:ascii="Georgia" w:hAnsi="Georgia"/>
        </w:rPr>
        <w:t xml:space="preserve">  This is reflected in the </w:t>
      </w:r>
      <w:r w:rsidR="00CD74A5">
        <w:rPr>
          <w:rFonts w:ascii="Georgia" w:hAnsi="Georgia"/>
        </w:rPr>
        <w:t>ten-year</w:t>
      </w:r>
      <w:r w:rsidR="00DD1158">
        <w:rPr>
          <w:rFonts w:ascii="Georgia" w:hAnsi="Georgia"/>
        </w:rPr>
        <w:t xml:space="preserve"> treasury yield increasing to 1.74% from a low of 0.51% in August of 2020.</w:t>
      </w:r>
      <w:r w:rsidR="00DD1158" w:rsidRPr="00DD1158">
        <w:rPr>
          <w:rFonts w:ascii="Georgia" w:hAnsi="Georgia"/>
          <w:vertAlign w:val="superscript"/>
        </w:rPr>
        <w:t xml:space="preserve"> </w:t>
      </w:r>
      <w:r w:rsidR="00DD1158">
        <w:rPr>
          <w:rFonts w:ascii="Georgia" w:hAnsi="Georgia"/>
          <w:vertAlign w:val="superscript"/>
        </w:rPr>
        <w:t>2</w:t>
      </w:r>
    </w:p>
    <w:p w14:paraId="3B7592CB" w14:textId="77F0A46D" w:rsidR="006B2218" w:rsidRDefault="00621E3E" w:rsidP="006B2218">
      <w:pPr>
        <w:rPr>
          <w:rFonts w:ascii="Georgia" w:hAnsi="Georgia"/>
          <w:vertAlign w:val="superscript"/>
        </w:rPr>
      </w:pPr>
      <w:r>
        <w:rPr>
          <w:noProof/>
        </w:rPr>
        <w:drawing>
          <wp:inline distT="0" distB="0" distL="0" distR="0" wp14:anchorId="24813445" wp14:editId="0BBF0267">
            <wp:extent cx="5943600" cy="2372360"/>
            <wp:effectExtent l="0" t="0" r="0" b="8890"/>
            <wp:docPr id="2" name="Chart 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8D49E4" w14:textId="77777777" w:rsidR="0032666C" w:rsidRDefault="0032666C" w:rsidP="0032666C">
      <w:pPr>
        <w:rPr>
          <w:rFonts w:ascii="Georgia" w:hAnsi="Georgia"/>
          <w:b/>
        </w:rPr>
      </w:pPr>
    </w:p>
    <w:p w14:paraId="4F5888FE" w14:textId="277F36FC" w:rsidR="0032666C" w:rsidRDefault="00DD1158" w:rsidP="0032666C">
      <w:pPr>
        <w:rPr>
          <w:rFonts w:ascii="Georgia" w:hAnsi="Georgia"/>
          <w:b/>
        </w:rPr>
      </w:pPr>
      <w:r>
        <w:rPr>
          <w:rFonts w:ascii="Georgia" w:hAnsi="Georgia"/>
          <w:b/>
        </w:rPr>
        <w:t>The Federal Reserve</w:t>
      </w:r>
    </w:p>
    <w:p w14:paraId="128C57F6" w14:textId="77777777" w:rsidR="0032666C" w:rsidRDefault="0032666C" w:rsidP="0032666C">
      <w:pPr>
        <w:rPr>
          <w:rFonts w:ascii="Georgia" w:hAnsi="Georgia"/>
        </w:rPr>
      </w:pPr>
    </w:p>
    <w:p w14:paraId="2D172A1F" w14:textId="244BFCED" w:rsidR="006B2218" w:rsidRPr="0032666C" w:rsidRDefault="00DD1158" w:rsidP="0032666C">
      <w:pPr>
        <w:rPr>
          <w:rFonts w:ascii="Georgia" w:hAnsi="Georgia"/>
          <w:vertAlign w:val="superscript"/>
        </w:rPr>
      </w:pPr>
      <w:r>
        <w:rPr>
          <w:rFonts w:ascii="Georgia" w:hAnsi="Georgia"/>
        </w:rPr>
        <w:t>The Federal Reserve (Fed) on March 17</w:t>
      </w:r>
      <w:r w:rsidRPr="00DD1158">
        <w:rPr>
          <w:rFonts w:ascii="Georgia" w:hAnsi="Georgia"/>
          <w:vertAlign w:val="superscript"/>
        </w:rPr>
        <w:t>th</w:t>
      </w:r>
      <w:r>
        <w:rPr>
          <w:rFonts w:ascii="Georgia" w:hAnsi="Georgia"/>
        </w:rPr>
        <w:t xml:space="preserve"> increased its projection for the US GDP from December’s forecast of 4.2% to 6.5% for 2021.</w:t>
      </w:r>
      <w:r w:rsidR="00CD74A5">
        <w:rPr>
          <w:rFonts w:ascii="Georgia" w:hAnsi="Georgia"/>
        </w:rPr>
        <w:t xml:space="preserve">  All the while indicating a continued accommodative stance and holding the Fed rate near zero, possibly through 202</w:t>
      </w:r>
      <w:r w:rsidR="00C9712F">
        <w:rPr>
          <w:rFonts w:ascii="Georgia" w:hAnsi="Georgia"/>
        </w:rPr>
        <w:t>3</w:t>
      </w:r>
      <w:r w:rsidR="00CD74A5">
        <w:rPr>
          <w:rFonts w:ascii="Georgia" w:hAnsi="Georgia"/>
        </w:rPr>
        <w:t>.  Jerome Powell has been clear that having a full employment rate and having an inflation rate a little above two percent is needed before he will look at raising interest rates.</w:t>
      </w:r>
      <w:r w:rsidR="0032666C">
        <w:rPr>
          <w:rFonts w:ascii="Georgia" w:hAnsi="Georgia"/>
        </w:rPr>
        <w:t xml:space="preserve"> </w:t>
      </w:r>
      <w:r w:rsidR="0032666C">
        <w:rPr>
          <w:rFonts w:ascii="Georgia" w:hAnsi="Georgia"/>
          <w:vertAlign w:val="superscript"/>
        </w:rPr>
        <w:t>3</w:t>
      </w:r>
      <w:r w:rsidR="00CD74A5">
        <w:rPr>
          <w:rFonts w:ascii="Georgia" w:hAnsi="Georgia"/>
          <w:vertAlign w:val="superscript"/>
        </w:rPr>
        <w:t xml:space="preserve">  </w:t>
      </w:r>
    </w:p>
    <w:p w14:paraId="6CB7B21D" w14:textId="77777777" w:rsidR="0032666C" w:rsidRDefault="0032666C" w:rsidP="0032666C">
      <w:pPr>
        <w:rPr>
          <w:rFonts w:ascii="Georgia" w:hAnsi="Georgia"/>
        </w:rPr>
      </w:pPr>
    </w:p>
    <w:p w14:paraId="5E38EDFB" w14:textId="699685AF" w:rsidR="006B2218" w:rsidRDefault="00C9712F" w:rsidP="00CD74A5">
      <w:pPr>
        <w:pStyle w:val="ListParagraph"/>
        <w:ind w:left="0"/>
        <w:rPr>
          <w:rFonts w:ascii="Georgia" w:hAnsi="Georgia"/>
          <w:b/>
        </w:rPr>
      </w:pPr>
      <w:r>
        <w:rPr>
          <w:rFonts w:ascii="Georgia" w:hAnsi="Georgia"/>
          <w:b/>
        </w:rPr>
        <w:t>Job Growth</w:t>
      </w:r>
    </w:p>
    <w:p w14:paraId="76E39CAB" w14:textId="29D1009F" w:rsidR="00C9712F" w:rsidRDefault="00C9712F" w:rsidP="003B1E1D">
      <w:pPr>
        <w:rPr>
          <w:rFonts w:ascii="Georgia" w:hAnsi="Georgia"/>
        </w:rPr>
      </w:pPr>
      <w:r>
        <w:rPr>
          <w:rFonts w:ascii="Georgia" w:hAnsi="Georgia"/>
        </w:rPr>
        <w:t>As states began to reopen partially or even fully, hiring resumed, particularly in the hospitality and leisure industry.  The US Department of Labor reported that total non-farm payroll employment rose by 916,000 in March, and the unemployment rate edged down to 6.0%</w:t>
      </w:r>
      <w:proofErr w:type="gramStart"/>
      <w:r>
        <w:rPr>
          <w:rFonts w:ascii="Georgia" w:hAnsi="Georgia"/>
        </w:rPr>
        <w:t>.</w:t>
      </w:r>
      <w:r>
        <w:rPr>
          <w:rFonts w:ascii="Georgia" w:hAnsi="Georgia"/>
          <w:vertAlign w:val="superscript"/>
        </w:rPr>
        <w:t>4</w:t>
      </w:r>
      <w:proofErr w:type="gramEnd"/>
    </w:p>
    <w:p w14:paraId="2E6A96DA" w14:textId="4962413D" w:rsidR="00C9712F" w:rsidRDefault="00C9712F" w:rsidP="003B1E1D">
      <w:pPr>
        <w:rPr>
          <w:rFonts w:ascii="Georgia" w:hAnsi="Georgia"/>
          <w:vertAlign w:val="superscript"/>
        </w:rPr>
      </w:pPr>
    </w:p>
    <w:p w14:paraId="78E8934F" w14:textId="77777777" w:rsidR="00C9712F" w:rsidRDefault="00C9712F" w:rsidP="003B1E1D">
      <w:pPr>
        <w:rPr>
          <w:rFonts w:ascii="Georgia" w:hAnsi="Georgia"/>
          <w:vertAlign w:val="superscript"/>
        </w:rPr>
      </w:pPr>
    </w:p>
    <w:p w14:paraId="202EFCE9" w14:textId="5211976C" w:rsidR="003B1E1D" w:rsidRDefault="003B1E1D" w:rsidP="003B1E1D">
      <w:pPr>
        <w:rPr>
          <w:rFonts w:ascii="Georgia" w:hAnsi="Georgia"/>
          <w:sz w:val="16"/>
          <w:szCs w:val="16"/>
        </w:rPr>
      </w:pPr>
      <w:r w:rsidRPr="003B1E1D">
        <w:rPr>
          <w:rFonts w:ascii="Georgia" w:hAnsi="Georgia"/>
          <w:vertAlign w:val="superscript"/>
        </w:rPr>
        <w:t>1</w:t>
      </w:r>
      <w:r>
        <w:rPr>
          <w:rFonts w:ascii="Georgia" w:hAnsi="Georgia"/>
        </w:rPr>
        <w:t>.</w:t>
      </w:r>
      <w:r w:rsidRPr="003B1E1D">
        <w:rPr>
          <w:rFonts w:ascii="Georgia" w:hAnsi="Georgia"/>
          <w:sz w:val="16"/>
          <w:szCs w:val="16"/>
        </w:rPr>
        <w:t>Assetmark Q</w:t>
      </w:r>
      <w:r w:rsidR="00DD1158">
        <w:rPr>
          <w:rFonts w:ascii="Georgia" w:hAnsi="Georgia"/>
          <w:sz w:val="16"/>
          <w:szCs w:val="16"/>
        </w:rPr>
        <w:t>1</w:t>
      </w:r>
      <w:r w:rsidRPr="003B1E1D">
        <w:rPr>
          <w:rFonts w:ascii="Georgia" w:hAnsi="Georgia"/>
          <w:sz w:val="16"/>
          <w:szCs w:val="16"/>
        </w:rPr>
        <w:t xml:space="preserve"> 202</w:t>
      </w:r>
      <w:r w:rsidR="00DD1158">
        <w:rPr>
          <w:rFonts w:ascii="Georgia" w:hAnsi="Georgia"/>
          <w:sz w:val="16"/>
          <w:szCs w:val="16"/>
        </w:rPr>
        <w:t>1</w:t>
      </w:r>
      <w:r w:rsidRPr="003B1E1D">
        <w:rPr>
          <w:rFonts w:ascii="Georgia" w:hAnsi="Georgia"/>
          <w:sz w:val="16"/>
          <w:szCs w:val="16"/>
        </w:rPr>
        <w:t xml:space="preserve"> Market Review   2. </w:t>
      </w:r>
      <w:r>
        <w:rPr>
          <w:rFonts w:ascii="Georgia" w:hAnsi="Georgia"/>
          <w:sz w:val="16"/>
          <w:szCs w:val="16"/>
        </w:rPr>
        <w:t xml:space="preserve"> </w:t>
      </w:r>
      <w:r w:rsidRPr="003B1E1D">
        <w:rPr>
          <w:rFonts w:ascii="Georgia" w:hAnsi="Georgia"/>
          <w:sz w:val="16"/>
          <w:szCs w:val="16"/>
        </w:rPr>
        <w:t xml:space="preserve">Morningstar article Economic </w:t>
      </w:r>
      <w:proofErr w:type="gramStart"/>
      <w:r w:rsidRPr="003B1E1D">
        <w:rPr>
          <w:rFonts w:ascii="Georgia" w:hAnsi="Georgia"/>
          <w:sz w:val="16"/>
          <w:szCs w:val="16"/>
        </w:rPr>
        <w:t>Outlook</w:t>
      </w:r>
      <w:r w:rsidR="00CD74A5">
        <w:rPr>
          <w:rFonts w:ascii="Georgia" w:hAnsi="Georgia"/>
          <w:sz w:val="16"/>
          <w:szCs w:val="16"/>
        </w:rPr>
        <w:t xml:space="preserve">  3</w:t>
      </w:r>
      <w:proofErr w:type="gramEnd"/>
      <w:r w:rsidR="00CD74A5">
        <w:rPr>
          <w:rFonts w:ascii="Georgia" w:hAnsi="Georgia"/>
          <w:sz w:val="16"/>
          <w:szCs w:val="16"/>
        </w:rPr>
        <w:t>. Federalreserve.gov/</w:t>
      </w:r>
      <w:proofErr w:type="spellStart"/>
      <w:r w:rsidR="00CD74A5">
        <w:rPr>
          <w:rFonts w:ascii="Georgia" w:hAnsi="Georgia"/>
          <w:sz w:val="16"/>
          <w:szCs w:val="16"/>
        </w:rPr>
        <w:t>monetarypolicy</w:t>
      </w:r>
      <w:proofErr w:type="spellEnd"/>
    </w:p>
    <w:p w14:paraId="07EAE4E7" w14:textId="36D5FFCD" w:rsidR="00C9712F" w:rsidRPr="003B1E1D" w:rsidRDefault="00C9712F" w:rsidP="003B1E1D">
      <w:pPr>
        <w:rPr>
          <w:rFonts w:ascii="Georgia" w:hAnsi="Georgia"/>
        </w:rPr>
      </w:pPr>
      <w:r>
        <w:rPr>
          <w:rFonts w:ascii="Georgia" w:hAnsi="Georgia"/>
          <w:sz w:val="16"/>
          <w:szCs w:val="16"/>
        </w:rPr>
        <w:t>4.</w:t>
      </w:r>
      <w:r w:rsidRPr="00C9712F">
        <w:t xml:space="preserve"> </w:t>
      </w:r>
      <w:r w:rsidRPr="00C9712F">
        <w:rPr>
          <w:rFonts w:ascii="Georgia" w:hAnsi="Georgia"/>
          <w:sz w:val="16"/>
          <w:szCs w:val="16"/>
        </w:rPr>
        <w:t>https://www.bls.gov/cps/</w:t>
      </w:r>
    </w:p>
    <w:p w14:paraId="66FB5632" w14:textId="77777777" w:rsidR="00CD74A5" w:rsidRDefault="00CD74A5" w:rsidP="006B2218">
      <w:pPr>
        <w:rPr>
          <w:rFonts w:ascii="Georgia" w:hAnsi="Georgia"/>
        </w:rPr>
      </w:pPr>
    </w:p>
    <w:p w14:paraId="7B539560" w14:textId="2AE78AFE" w:rsidR="00713FE3" w:rsidRDefault="00713FE3" w:rsidP="00713FE3">
      <w:pPr>
        <w:pStyle w:val="ListParagraph"/>
        <w:ind w:left="0"/>
        <w:rPr>
          <w:rFonts w:ascii="Georgia" w:hAnsi="Georgia"/>
          <w:b/>
        </w:rPr>
      </w:pPr>
      <w:r>
        <w:rPr>
          <w:rFonts w:ascii="Georgia" w:hAnsi="Georgia"/>
          <w:b/>
        </w:rPr>
        <w:t>Looking Forward</w:t>
      </w:r>
    </w:p>
    <w:p w14:paraId="50D2E4CC" w14:textId="54928B1B" w:rsidR="00F815C5" w:rsidRDefault="00BB057A" w:rsidP="00F815C5">
      <w:pPr>
        <w:rPr>
          <w:rFonts w:ascii="Georgia" w:hAnsi="Georgia"/>
        </w:rPr>
      </w:pPr>
      <w:r>
        <w:rPr>
          <w:rFonts w:ascii="Georgia" w:hAnsi="Georgia"/>
        </w:rPr>
        <w:t xml:space="preserve">The recovery is poised to gain steam this year, driven by the reopening of businesses, the falling unemployment rate and a big dose of fiscal stimulus.  </w:t>
      </w:r>
      <w:r w:rsidR="00A209AD">
        <w:rPr>
          <w:rFonts w:ascii="Georgia" w:hAnsi="Georgia"/>
        </w:rPr>
        <w:t>Pent up demand will help to drive global growth as vaccines are distributed around the world.</w:t>
      </w:r>
      <w:r w:rsidR="00F17B7D">
        <w:rPr>
          <w:rFonts w:ascii="Georgia" w:hAnsi="Georgia"/>
        </w:rPr>
        <w:t xml:space="preserve">  Possible risks to the continued recovery include vaccine related health scare or problems related to the distribution or production.  People need to feel comfortable with a return to “normal” life or the recovery could be pushed out.  Also, will the tremendous amount of stimulus that was injected into the global economy generate an inflation surprise that causes central banks to tighten early</w:t>
      </w:r>
      <w:r w:rsidR="00CC22EB">
        <w:rPr>
          <w:rFonts w:ascii="Georgia" w:hAnsi="Georgia"/>
        </w:rPr>
        <w:t xml:space="preserve">, </w:t>
      </w:r>
      <w:r w:rsidR="00F17B7D">
        <w:rPr>
          <w:rFonts w:ascii="Georgia" w:hAnsi="Georgia"/>
        </w:rPr>
        <w:t>result</w:t>
      </w:r>
      <w:r w:rsidR="00CC22EB">
        <w:rPr>
          <w:rFonts w:ascii="Georgia" w:hAnsi="Georgia"/>
        </w:rPr>
        <w:t>ing</w:t>
      </w:r>
      <w:r w:rsidR="00F17B7D">
        <w:rPr>
          <w:rFonts w:ascii="Georgia" w:hAnsi="Georgia"/>
        </w:rPr>
        <w:t xml:space="preserve"> in a stumble </w:t>
      </w:r>
      <w:r w:rsidR="00CC22EB">
        <w:rPr>
          <w:rFonts w:ascii="Georgia" w:hAnsi="Georgia"/>
        </w:rPr>
        <w:t>of</w:t>
      </w:r>
      <w:r w:rsidR="00F17B7D">
        <w:rPr>
          <w:rFonts w:ascii="Georgia" w:hAnsi="Georgia"/>
        </w:rPr>
        <w:t xml:space="preserve"> the expansion that is happening now?  </w:t>
      </w:r>
    </w:p>
    <w:p w14:paraId="4C53EE98" w14:textId="4AF51722" w:rsidR="00766CC1" w:rsidRDefault="00766CC1" w:rsidP="00F815C5">
      <w:pPr>
        <w:rPr>
          <w:rFonts w:ascii="Georgia" w:hAnsi="Georgia"/>
        </w:rPr>
      </w:pPr>
    </w:p>
    <w:p w14:paraId="37854BFE" w14:textId="5C02D252" w:rsidR="00766CC1" w:rsidRPr="00766CC1" w:rsidRDefault="00766CC1" w:rsidP="00766CC1">
      <w:pPr>
        <w:pStyle w:val="ListParagraph"/>
        <w:ind w:left="0"/>
        <w:rPr>
          <w:rFonts w:ascii="Georgia" w:hAnsi="Georgia"/>
          <w:b/>
        </w:rPr>
      </w:pPr>
      <w:r>
        <w:rPr>
          <w:rFonts w:ascii="Georgia" w:hAnsi="Georgia"/>
          <w:b/>
        </w:rPr>
        <w:t>PERS Corner</w:t>
      </w:r>
    </w:p>
    <w:p w14:paraId="6BB88550" w14:textId="3D78BDA3" w:rsidR="00766CC1" w:rsidRDefault="00766CC1" w:rsidP="006B2218">
      <w:pPr>
        <w:rPr>
          <w:rFonts w:ascii="Georgia" w:hAnsi="Georgia"/>
        </w:rPr>
      </w:pPr>
      <w:r>
        <w:rPr>
          <w:rFonts w:ascii="Georgia" w:hAnsi="Georgia"/>
        </w:rPr>
        <w:t xml:space="preserve">House Bill 2867 moves to committee. It would allow Tier 1 PERS retirees to establish </w:t>
      </w:r>
      <w:r w:rsidR="006B52D7">
        <w:rPr>
          <w:rFonts w:ascii="Georgia" w:hAnsi="Georgia"/>
        </w:rPr>
        <w:t xml:space="preserve">or re-establish </w:t>
      </w:r>
      <w:r>
        <w:rPr>
          <w:rFonts w:ascii="Georgia" w:hAnsi="Georgia"/>
        </w:rPr>
        <w:t xml:space="preserve">Oregon residency on a quarterly basis instead of an annual basis. </w:t>
      </w:r>
      <w:r w:rsidR="006B52D7">
        <w:rPr>
          <w:rFonts w:ascii="Georgia" w:hAnsi="Georgia"/>
        </w:rPr>
        <w:t xml:space="preserve">As an Oregon resident they would be paid a maximum tax remedy of 9.89% of their member benefit. For more </w:t>
      </w:r>
      <w:proofErr w:type="gramStart"/>
      <w:r w:rsidR="006B52D7">
        <w:rPr>
          <w:rFonts w:ascii="Georgia" w:hAnsi="Georgia"/>
        </w:rPr>
        <w:t>information</w:t>
      </w:r>
      <w:proofErr w:type="gramEnd"/>
      <w:r w:rsidR="006B52D7">
        <w:rPr>
          <w:rFonts w:ascii="Georgia" w:hAnsi="Georgia"/>
        </w:rPr>
        <w:t xml:space="preserve"> please refer to </w:t>
      </w:r>
      <w:hyperlink r:id="rId8" w:history="1">
        <w:r w:rsidR="006B52D7" w:rsidRPr="00DB0385">
          <w:rPr>
            <w:rStyle w:val="Hyperlink"/>
            <w:rFonts w:ascii="Georgia" w:hAnsi="Georgia"/>
          </w:rPr>
          <w:t>https://www.oregon.gov/pers/RET/Pages/Tax-Remedy-Information.aspx</w:t>
        </w:r>
      </w:hyperlink>
      <w:r w:rsidR="006B52D7">
        <w:rPr>
          <w:rFonts w:ascii="Georgia" w:hAnsi="Georgia"/>
        </w:rPr>
        <w:t xml:space="preserve">. </w:t>
      </w:r>
    </w:p>
    <w:p w14:paraId="7AF6FBC9" w14:textId="77777777" w:rsidR="00766CC1" w:rsidRDefault="00766CC1" w:rsidP="006B2218">
      <w:pPr>
        <w:rPr>
          <w:rFonts w:ascii="Georgia" w:hAnsi="Georgia"/>
        </w:rPr>
      </w:pPr>
    </w:p>
    <w:p w14:paraId="45A037A2" w14:textId="0B955553" w:rsidR="006B2218" w:rsidRDefault="006B2218" w:rsidP="006B2218">
      <w:pPr>
        <w:rPr>
          <w:rFonts w:ascii="Georgia" w:hAnsi="Georgia"/>
        </w:rPr>
      </w:pPr>
      <w:r>
        <w:rPr>
          <w:rFonts w:ascii="Georgia" w:hAnsi="Georgia"/>
        </w:rPr>
        <w:t xml:space="preserve">Thank you for the trust you have placed in us and we will continue to work hard to </w:t>
      </w:r>
      <w:r w:rsidR="00F815C5">
        <w:rPr>
          <w:rFonts w:ascii="Georgia" w:hAnsi="Georgia"/>
        </w:rPr>
        <w:t>navigate</w:t>
      </w:r>
      <w:r>
        <w:rPr>
          <w:rFonts w:ascii="Georgia" w:hAnsi="Georgia"/>
        </w:rPr>
        <w:t xml:space="preserve"> the challenges and opportunities on your behalf.  We look forward to discussion your evolving financial goals, as well as reviewing the mixture of asset allocation approaches within your portfolio, as we seek to keep your investment plan aligned with your needs.</w:t>
      </w:r>
    </w:p>
    <w:p w14:paraId="2E830D4E" w14:textId="77777777" w:rsidR="006B2218" w:rsidRDefault="006B2218" w:rsidP="006B2218">
      <w:pPr>
        <w:rPr>
          <w:rFonts w:ascii="Georgia" w:hAnsi="Georgia"/>
        </w:rPr>
      </w:pPr>
    </w:p>
    <w:p w14:paraId="74A23FCD" w14:textId="77777777" w:rsidR="006B2218" w:rsidRDefault="006B2218" w:rsidP="006B2218">
      <w:pPr>
        <w:rPr>
          <w:rFonts w:ascii="Georgia" w:hAnsi="Georgia"/>
        </w:rPr>
      </w:pPr>
      <w:r>
        <w:rPr>
          <w:rFonts w:ascii="Georgia" w:hAnsi="Georgia"/>
        </w:rPr>
        <w:t>Sincerely,</w:t>
      </w:r>
    </w:p>
    <w:p w14:paraId="0F768CD8" w14:textId="5C0FE27E" w:rsidR="006B2218" w:rsidRDefault="006B2218" w:rsidP="006B2218">
      <w:pPr>
        <w:rPr>
          <w:rFonts w:ascii="Georgia" w:hAnsi="Georgia"/>
        </w:rPr>
      </w:pPr>
    </w:p>
    <w:p w14:paraId="6870D22A" w14:textId="31525E54" w:rsidR="006B52D7" w:rsidRDefault="0006367F" w:rsidP="006B2218">
      <w:pPr>
        <w:rPr>
          <w:rFonts w:ascii="Georgia" w:hAnsi="Georgia"/>
        </w:rPr>
      </w:pPr>
      <w:r>
        <w:rPr>
          <w:rFonts w:ascii="Georgia" w:hAnsi="Georgia"/>
          <w:noProof/>
        </w:rPr>
        <w:drawing>
          <wp:inline distT="0" distB="0" distL="0" distR="0" wp14:anchorId="3FF97E14" wp14:editId="5F5A57EF">
            <wp:extent cx="544732" cy="39976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3891" cy="413823"/>
                    </a:xfrm>
                    <a:prstGeom prst="rect">
                      <a:avLst/>
                    </a:prstGeom>
                  </pic:spPr>
                </pic:pic>
              </a:graphicData>
            </a:graphic>
          </wp:inline>
        </w:drawing>
      </w:r>
    </w:p>
    <w:p w14:paraId="5205E733" w14:textId="77777777" w:rsidR="00922568" w:rsidRDefault="00922568" w:rsidP="006B2218">
      <w:pPr>
        <w:rPr>
          <w:rFonts w:ascii="Georgia" w:hAnsi="Georgia"/>
        </w:rPr>
      </w:pPr>
    </w:p>
    <w:p w14:paraId="47837A3A" w14:textId="77777777" w:rsidR="006B2218" w:rsidRDefault="006B2218" w:rsidP="006B2218">
      <w:pPr>
        <w:rPr>
          <w:rFonts w:ascii="Georgia" w:hAnsi="Georgia"/>
        </w:rPr>
      </w:pPr>
      <w:r>
        <w:rPr>
          <w:rFonts w:ascii="Georgia" w:hAnsi="Georgia"/>
        </w:rPr>
        <w:t>Kadi F. Hinz</w:t>
      </w:r>
    </w:p>
    <w:p w14:paraId="19F4CFB9" w14:textId="77777777" w:rsidR="006B2218" w:rsidRDefault="006B2218" w:rsidP="006B2218">
      <w:pPr>
        <w:rPr>
          <w:rFonts w:ascii="Georgia" w:hAnsi="Georgia"/>
        </w:rPr>
      </w:pPr>
      <w:r>
        <w:rPr>
          <w:rFonts w:ascii="Georgia" w:hAnsi="Georgia"/>
        </w:rPr>
        <w:t>Financial Planner*, MSFA</w:t>
      </w:r>
    </w:p>
    <w:p w14:paraId="5FD1BF13" w14:textId="77777777" w:rsidR="00F55992" w:rsidRDefault="00F55992" w:rsidP="006B2218">
      <w:pPr>
        <w:rPr>
          <w:rFonts w:ascii="Georgia" w:hAnsi="Georgia"/>
        </w:rPr>
      </w:pPr>
    </w:p>
    <w:sectPr w:rsidR="00F55992" w:rsidSect="00400B77">
      <w:headerReference w:type="default" r:id="rId10"/>
      <w:footerReference w:type="default" r:id="rId11"/>
      <w:pgSz w:w="12240" w:h="15840" w:code="1"/>
      <w:pgMar w:top="2880" w:right="1152" w:bottom="1440"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C1DD" w14:textId="77777777" w:rsidR="001C2407" w:rsidRDefault="001C2407">
      <w:r>
        <w:separator/>
      </w:r>
    </w:p>
  </w:endnote>
  <w:endnote w:type="continuationSeparator" w:id="0">
    <w:p w14:paraId="629E0556" w14:textId="77777777" w:rsidR="001C2407" w:rsidRDefault="001C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CF60" w14:textId="77777777" w:rsidR="008B7E03" w:rsidRPr="00A20595" w:rsidRDefault="008B7E03" w:rsidP="00600324">
    <w:pPr>
      <w:pStyle w:val="Footer"/>
      <w:pBdr>
        <w:top w:val="single" w:sz="4" w:space="1" w:color="auto"/>
      </w:pBdr>
      <w:rPr>
        <w:rFonts w:ascii="Calibri" w:hAnsi="Calibri" w:cs="Calibri"/>
        <w:i/>
        <w:iCs/>
        <w:color w:val="000000"/>
        <w:sz w:val="18"/>
        <w:szCs w:val="18"/>
      </w:rPr>
    </w:pPr>
  </w:p>
  <w:p w14:paraId="3FCC951B" w14:textId="77777777" w:rsidR="00415AC2" w:rsidRPr="00A20595" w:rsidRDefault="00600324" w:rsidP="00600324">
    <w:pPr>
      <w:pStyle w:val="Footer"/>
      <w:rPr>
        <w:rFonts w:ascii="Calibri" w:hAnsi="Calibri" w:cs="Calibri"/>
        <w:sz w:val="18"/>
        <w:szCs w:val="18"/>
      </w:rPr>
    </w:pPr>
    <w:r w:rsidRPr="00A20595">
      <w:rPr>
        <w:rFonts w:ascii="Calibri" w:hAnsi="Calibri" w:cs="Calibri"/>
        <w:i/>
        <w:iCs/>
        <w:sz w:val="18"/>
        <w:szCs w:val="18"/>
      </w:rPr>
      <w:t xml:space="preserve">Securities and investment advisory services, and insurance offered through </w:t>
    </w:r>
    <w:proofErr w:type="spellStart"/>
    <w:r w:rsidRPr="00A20595">
      <w:rPr>
        <w:rFonts w:ascii="Calibri" w:hAnsi="Calibri" w:cs="Calibri"/>
        <w:i/>
        <w:iCs/>
        <w:sz w:val="18"/>
        <w:szCs w:val="18"/>
      </w:rPr>
      <w:t>SagePoint</w:t>
    </w:r>
    <w:proofErr w:type="spellEnd"/>
    <w:r w:rsidRPr="00A20595">
      <w:rPr>
        <w:rFonts w:ascii="Calibri" w:hAnsi="Calibri" w:cs="Calibri"/>
        <w:i/>
        <w:iCs/>
        <w:sz w:val="18"/>
        <w:szCs w:val="18"/>
      </w:rPr>
      <w:t xml:space="preserve"> Financial, Inc. (SPF), member FINRA/SIPC.  SPF is separately owned and other entities and/or marketing names, products or services referenced here are independent of SPF.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C7FB" w14:textId="77777777" w:rsidR="001C2407" w:rsidRDefault="001C2407">
      <w:r>
        <w:separator/>
      </w:r>
    </w:p>
  </w:footnote>
  <w:footnote w:type="continuationSeparator" w:id="0">
    <w:p w14:paraId="386E944F" w14:textId="77777777" w:rsidR="001C2407" w:rsidRDefault="001C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2D1F" w14:textId="77777777" w:rsidR="006C01CE" w:rsidRDefault="001C2407" w:rsidP="00EA35E9">
    <w:pPr>
      <w:autoSpaceDE w:val="0"/>
      <w:autoSpaceDN w:val="0"/>
      <w:adjustRightInd w:val="0"/>
      <w:rPr>
        <w:rFonts w:ascii="Arial" w:hAnsi="Arial" w:cs="Arial"/>
        <w:sz w:val="17"/>
        <w:szCs w:val="17"/>
      </w:rPr>
    </w:pPr>
    <w:r>
      <w:rPr>
        <w:noProof/>
      </w:rPr>
      <w:pict w14:anchorId="6207B75A">
        <v:shapetype id="_x0000_t202" coordsize="21600,21600" o:spt="202" path="m,l,21600r21600,l21600,xe">
          <v:stroke joinstyle="miter"/>
          <v:path gradientshapeok="t" o:connecttype="rect"/>
        </v:shapetype>
        <v:shape id="Text Box 2" o:spid="_x0000_s2096" type="#_x0000_t202" style="position:absolute;margin-left:-6.9pt;margin-top:-69pt;width:120.4pt;height:77.35pt;z-index:251657728;visibility:visible;mso-height-percent:200;mso-wrap-distance-top:3.6pt;mso-wrap-distance-bottom:3.6pt;mso-height-percent:200;mso-width-relative:margin;mso-height-relative:margin" stroked="f">
          <v:textbox style="mso-fit-shape-to-text:t">
            <w:txbxContent>
              <w:p w14:paraId="49142E31" w14:textId="77777777" w:rsidR="00400B77" w:rsidRPr="00A20595" w:rsidRDefault="00400B77" w:rsidP="00400B77">
                <w:pPr>
                  <w:rPr>
                    <w:rFonts w:ascii="Calibri" w:hAnsi="Calibri" w:cs="Calibri"/>
                    <w:b/>
                    <w:bCs/>
                    <w:sz w:val="22"/>
                    <w:szCs w:val="22"/>
                    <w:lang w:val="sv-SE"/>
                  </w:rPr>
                </w:pPr>
                <w:r w:rsidRPr="00A20595">
                  <w:rPr>
                    <w:rFonts w:ascii="Calibri" w:hAnsi="Calibri" w:cs="Calibri"/>
                    <w:b/>
                    <w:bCs/>
                    <w:sz w:val="22"/>
                    <w:szCs w:val="22"/>
                    <w:lang w:val="sv-SE"/>
                  </w:rPr>
                  <w:t>Kadi F. Hinz, MSFA</w:t>
                </w:r>
              </w:p>
              <w:p w14:paraId="263CE10C" w14:textId="77777777" w:rsidR="00400B77" w:rsidRPr="00A20595" w:rsidRDefault="00400B77" w:rsidP="00400B77">
                <w:pPr>
                  <w:rPr>
                    <w:rFonts w:ascii="Calibri" w:hAnsi="Calibri" w:cs="Calibri"/>
                    <w:b/>
                    <w:bCs/>
                    <w:sz w:val="20"/>
                    <w:szCs w:val="20"/>
                    <w:lang w:val="sv-SE"/>
                  </w:rPr>
                </w:pPr>
                <w:r w:rsidRPr="00A20595">
                  <w:rPr>
                    <w:rFonts w:ascii="Calibri" w:hAnsi="Calibri" w:cs="Calibri"/>
                    <w:b/>
                    <w:bCs/>
                    <w:sz w:val="20"/>
                    <w:szCs w:val="20"/>
                    <w:lang w:val="sv-SE"/>
                  </w:rPr>
                  <w:t>Financial Planner</w:t>
                </w:r>
              </w:p>
              <w:p w14:paraId="08925BA2" w14:textId="77777777" w:rsidR="00400B77" w:rsidRPr="00A20595" w:rsidRDefault="00400B77" w:rsidP="00400B77">
                <w:pPr>
                  <w:rPr>
                    <w:rFonts w:ascii="Calibri" w:hAnsi="Calibri" w:cs="Calibri"/>
                    <w:sz w:val="20"/>
                    <w:szCs w:val="20"/>
                  </w:rPr>
                </w:pPr>
              </w:p>
              <w:p w14:paraId="71D21A42" w14:textId="77777777" w:rsidR="00400B77" w:rsidRPr="00A20595" w:rsidRDefault="00400B77" w:rsidP="00400B77">
                <w:pPr>
                  <w:rPr>
                    <w:rFonts w:ascii="Calibri" w:hAnsi="Calibri" w:cs="Calibri"/>
                    <w:sz w:val="20"/>
                    <w:szCs w:val="20"/>
                  </w:rPr>
                </w:pPr>
                <w:r w:rsidRPr="00A20595">
                  <w:rPr>
                    <w:rFonts w:ascii="Calibri" w:hAnsi="Calibri" w:cs="Calibri"/>
                    <w:sz w:val="20"/>
                    <w:szCs w:val="20"/>
                  </w:rPr>
                  <w:t>503-566-7266 x1111</w:t>
                </w:r>
              </w:p>
              <w:p w14:paraId="24464FF6" w14:textId="77777777" w:rsidR="00400B77" w:rsidRPr="00A20595" w:rsidRDefault="00400B77" w:rsidP="00400B77">
                <w:pPr>
                  <w:rPr>
                    <w:rFonts w:ascii="Calibri" w:hAnsi="Calibri" w:cs="Calibri"/>
                    <w:sz w:val="20"/>
                    <w:szCs w:val="20"/>
                  </w:rPr>
                </w:pPr>
                <w:r w:rsidRPr="00A20595">
                  <w:rPr>
                    <w:rFonts w:ascii="Calibri" w:hAnsi="Calibri" w:cs="Calibri"/>
                    <w:sz w:val="20"/>
                    <w:szCs w:val="20"/>
                  </w:rPr>
                  <w:t>503-566-7446 Fax</w:t>
                </w:r>
              </w:p>
              <w:p w14:paraId="38765F1E" w14:textId="77777777" w:rsidR="00400B77" w:rsidRPr="00A20595" w:rsidRDefault="00400B77" w:rsidP="00400B77">
                <w:pPr>
                  <w:rPr>
                    <w:rFonts w:ascii="Calibri" w:hAnsi="Calibri" w:cs="Calibri"/>
                  </w:rPr>
                </w:pPr>
                <w:r w:rsidRPr="00A20595">
                  <w:rPr>
                    <w:rFonts w:ascii="Calibri" w:hAnsi="Calibri" w:cs="Calibri"/>
                    <w:sz w:val="20"/>
                    <w:szCs w:val="20"/>
                  </w:rPr>
                  <w:t>kadi@wfgadvisors.com</w:t>
                </w:r>
              </w:p>
            </w:txbxContent>
          </v:textbox>
        </v:shape>
      </w:pict>
    </w:r>
    <w:r>
      <w:rPr>
        <w:noProof/>
      </w:rPr>
      <w:pict w14:anchorId="5D11F13A">
        <v:shape id="_x0000_s2097" type="#_x0000_t202" style="position:absolute;margin-left:366.9pt;margin-top:-75.75pt;width:137.7pt;height:87.7pt;z-index:251658752;visibility:visible;mso-height-percent:200;mso-wrap-distance-top:3.6pt;mso-wrap-distance-bottom:3.6pt;mso-height-percent:200;mso-width-relative:margin;mso-height-relative:margin" stroked="f">
          <v:textbox style="mso-fit-shape-to-text:t">
            <w:txbxContent>
              <w:p w14:paraId="1D0CD9AC" w14:textId="77777777" w:rsidR="00400B77" w:rsidRPr="00A20595" w:rsidRDefault="00400B77" w:rsidP="00400B77">
                <w:pPr>
                  <w:jc w:val="right"/>
                  <w:rPr>
                    <w:rFonts w:ascii="Calibri" w:hAnsi="Calibri" w:cs="Calibri"/>
                    <w:b/>
                    <w:bCs/>
                    <w:sz w:val="20"/>
                    <w:szCs w:val="20"/>
                    <w:lang w:val="sv-SE"/>
                  </w:rPr>
                </w:pPr>
                <w:r w:rsidRPr="00A20595">
                  <w:rPr>
                    <w:rFonts w:ascii="Calibri" w:hAnsi="Calibri" w:cs="Calibri"/>
                    <w:b/>
                    <w:bCs/>
                    <w:sz w:val="20"/>
                    <w:szCs w:val="20"/>
                    <w:u w:val="single"/>
                    <w:lang w:val="sv-SE"/>
                  </w:rPr>
                  <w:t>Main Office</w:t>
                </w:r>
              </w:p>
              <w:p w14:paraId="110758A1" w14:textId="77777777" w:rsidR="00400B77" w:rsidRPr="00A20595" w:rsidRDefault="00400B77" w:rsidP="00400B77">
                <w:pPr>
                  <w:jc w:val="right"/>
                  <w:rPr>
                    <w:rFonts w:ascii="Calibri" w:hAnsi="Calibri" w:cs="Calibri"/>
                    <w:sz w:val="20"/>
                    <w:szCs w:val="20"/>
                    <w:lang w:val="sv-SE"/>
                  </w:rPr>
                </w:pPr>
                <w:r w:rsidRPr="00A20595">
                  <w:rPr>
                    <w:rFonts w:ascii="Calibri" w:hAnsi="Calibri" w:cs="Calibri"/>
                    <w:sz w:val="20"/>
                    <w:szCs w:val="20"/>
                    <w:lang w:val="sv-SE"/>
                  </w:rPr>
                  <w:t>3550 Liberty Rd S, Ste. 230</w:t>
                </w:r>
              </w:p>
              <w:p w14:paraId="61DFD45B" w14:textId="77777777" w:rsidR="00400B77" w:rsidRPr="00A20595" w:rsidRDefault="00400B77" w:rsidP="00400B77">
                <w:pPr>
                  <w:jc w:val="right"/>
                  <w:rPr>
                    <w:rFonts w:ascii="Calibri" w:hAnsi="Calibri" w:cs="Calibri"/>
                    <w:sz w:val="20"/>
                    <w:szCs w:val="20"/>
                    <w:lang w:val="sv-SE"/>
                  </w:rPr>
                </w:pPr>
                <w:r w:rsidRPr="00A20595">
                  <w:rPr>
                    <w:rFonts w:ascii="Calibri" w:hAnsi="Calibri" w:cs="Calibri"/>
                    <w:sz w:val="20"/>
                    <w:szCs w:val="20"/>
                    <w:lang w:val="sv-SE"/>
                  </w:rPr>
                  <w:t>Salem, OR  97302</w:t>
                </w:r>
              </w:p>
              <w:p w14:paraId="62E285EA" w14:textId="77777777" w:rsidR="00400B77" w:rsidRPr="00A20595" w:rsidRDefault="00400B77" w:rsidP="00400B77">
                <w:pPr>
                  <w:jc w:val="right"/>
                  <w:rPr>
                    <w:rFonts w:ascii="Calibri" w:hAnsi="Calibri" w:cs="Calibri"/>
                    <w:sz w:val="20"/>
                    <w:szCs w:val="20"/>
                    <w:lang w:val="sv-SE"/>
                  </w:rPr>
                </w:pPr>
              </w:p>
              <w:p w14:paraId="27386090" w14:textId="77777777" w:rsidR="00400B77" w:rsidRPr="00A20595" w:rsidRDefault="00400B77" w:rsidP="00400B77">
                <w:pPr>
                  <w:jc w:val="right"/>
                  <w:rPr>
                    <w:rFonts w:ascii="Calibri" w:hAnsi="Calibri" w:cs="Calibri"/>
                    <w:sz w:val="20"/>
                    <w:szCs w:val="20"/>
                    <w:u w:val="single"/>
                    <w:lang w:val="sv-SE"/>
                  </w:rPr>
                </w:pPr>
                <w:r w:rsidRPr="00A20595">
                  <w:rPr>
                    <w:rFonts w:ascii="Calibri" w:hAnsi="Calibri" w:cs="Calibri"/>
                    <w:b/>
                    <w:bCs/>
                    <w:sz w:val="20"/>
                    <w:szCs w:val="20"/>
                    <w:u w:val="single"/>
                    <w:lang w:val="sv-SE"/>
                  </w:rPr>
                  <w:t>Gladstone Office</w:t>
                </w:r>
              </w:p>
              <w:p w14:paraId="38DD4623" w14:textId="77777777" w:rsidR="00400B77" w:rsidRPr="00A20595" w:rsidRDefault="00400B77" w:rsidP="00400B77">
                <w:pPr>
                  <w:jc w:val="right"/>
                  <w:rPr>
                    <w:rFonts w:ascii="Calibri" w:hAnsi="Calibri" w:cs="Calibri"/>
                    <w:sz w:val="20"/>
                    <w:szCs w:val="20"/>
                    <w:lang w:val="sv-SE"/>
                  </w:rPr>
                </w:pPr>
                <w:r w:rsidRPr="00A20595">
                  <w:rPr>
                    <w:rFonts w:ascii="Calibri" w:hAnsi="Calibri" w:cs="Calibri"/>
                    <w:sz w:val="20"/>
                    <w:szCs w:val="20"/>
                    <w:lang w:val="sv-SE"/>
                  </w:rPr>
                  <w:t>45 82nd Drive #55</w:t>
                </w:r>
              </w:p>
              <w:p w14:paraId="1BD86DAE" w14:textId="77777777" w:rsidR="00400B77" w:rsidRPr="00A20595" w:rsidRDefault="00400B77" w:rsidP="00400B77">
                <w:pPr>
                  <w:jc w:val="right"/>
                  <w:rPr>
                    <w:rFonts w:ascii="Calibri" w:hAnsi="Calibri" w:cs="Calibri"/>
                  </w:rPr>
                </w:pPr>
                <w:r w:rsidRPr="00A20595">
                  <w:rPr>
                    <w:rFonts w:ascii="Calibri" w:hAnsi="Calibri" w:cs="Calibri"/>
                    <w:sz w:val="20"/>
                    <w:szCs w:val="20"/>
                    <w:lang w:val="sv-SE"/>
                  </w:rPr>
                  <w:t>Gladstone, OR  97027</w:t>
                </w:r>
              </w:p>
            </w:txbxContent>
          </v:textbox>
        </v:shape>
      </w:pict>
    </w:r>
    <w:r>
      <w:pict w14:anchorId="14602FBD">
        <v:rect id="_x0000_s2087" style="position:absolute;margin-left:119.5pt;margin-top:-76.65pt;width:225.05pt;height:88.6pt;z-index:251656704;mso-wrap-distance-left:2.88pt;mso-wrap-distance-top:2.88pt;mso-wrap-distance-right:2.88pt;mso-wrap-distance-bottom:2.88pt" o:preferrelative="t" filled="f" stroked="f" insetpen="t" o:cliptowrap="t">
          <v:imagedata r:id="rId1" o:title="Version 4"/>
          <v:shadow color="#ccc"/>
          <v:path o:extrusionok="f"/>
          <o:lock v:ext="edit" aspectratio="t"/>
        </v:rect>
      </w:pict>
    </w:r>
  </w:p>
  <w:p w14:paraId="0648D28F" w14:textId="77777777" w:rsidR="00172D39" w:rsidRPr="00172D39" w:rsidRDefault="00172D39" w:rsidP="00400B77">
    <w:pPr>
      <w:pBdr>
        <w:bottom w:val="single" w:sz="4" w:space="1" w:color="auto"/>
      </w:pBdr>
      <w:autoSpaceDE w:val="0"/>
      <w:autoSpaceDN w:val="0"/>
      <w:adjustRightInd w:val="0"/>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9F5"/>
    <w:multiLevelType w:val="hybridMultilevel"/>
    <w:tmpl w:val="96886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440A78"/>
    <w:multiLevelType w:val="hybridMultilevel"/>
    <w:tmpl w:val="D996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F3585"/>
    <w:multiLevelType w:val="hybridMultilevel"/>
    <w:tmpl w:val="F4BC8B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213C3D"/>
    <w:multiLevelType w:val="multilevel"/>
    <w:tmpl w:val="9476190C"/>
    <w:lvl w:ilvl="0">
      <w:start w:val="503"/>
      <w:numFmt w:val="decimal"/>
      <w:lvlText w:val="%1"/>
      <w:lvlJc w:val="left"/>
      <w:pPr>
        <w:tabs>
          <w:tab w:val="num" w:pos="5760"/>
        </w:tabs>
        <w:ind w:left="5760" w:hanging="5760"/>
      </w:pPr>
      <w:rPr>
        <w:rFonts w:hint="default"/>
      </w:rPr>
    </w:lvl>
    <w:lvl w:ilvl="1">
      <w:start w:val="581"/>
      <w:numFmt w:val="decimal"/>
      <w:lvlText w:val="%1-%2"/>
      <w:lvlJc w:val="left"/>
      <w:pPr>
        <w:tabs>
          <w:tab w:val="num" w:pos="5760"/>
        </w:tabs>
        <w:ind w:left="5760" w:hanging="5760"/>
      </w:pPr>
      <w:rPr>
        <w:rFonts w:hint="default"/>
      </w:rPr>
    </w:lvl>
    <w:lvl w:ilvl="2">
      <w:start w:val="3120"/>
      <w:numFmt w:val="decimal"/>
      <w:lvlText w:val="%1-%2-%3"/>
      <w:lvlJc w:val="left"/>
      <w:pPr>
        <w:tabs>
          <w:tab w:val="num" w:pos="5760"/>
        </w:tabs>
        <w:ind w:left="5760" w:hanging="5760"/>
      </w:pPr>
      <w:rPr>
        <w:rFonts w:hint="default"/>
      </w:rPr>
    </w:lvl>
    <w:lvl w:ilvl="3">
      <w:start w:val="1"/>
      <w:numFmt w:val="decimal"/>
      <w:lvlText w:val="%1-%2-%3.%4"/>
      <w:lvlJc w:val="left"/>
      <w:pPr>
        <w:tabs>
          <w:tab w:val="num" w:pos="5760"/>
        </w:tabs>
        <w:ind w:left="5760" w:hanging="5760"/>
      </w:pPr>
      <w:rPr>
        <w:rFonts w:hint="default"/>
      </w:rPr>
    </w:lvl>
    <w:lvl w:ilvl="4">
      <w:start w:val="1"/>
      <w:numFmt w:val="decimal"/>
      <w:lvlText w:val="%1-%2-%3.%4.%5"/>
      <w:lvlJc w:val="left"/>
      <w:pPr>
        <w:tabs>
          <w:tab w:val="num" w:pos="5760"/>
        </w:tabs>
        <w:ind w:left="5760" w:hanging="5760"/>
      </w:pPr>
      <w:rPr>
        <w:rFonts w:hint="default"/>
      </w:rPr>
    </w:lvl>
    <w:lvl w:ilvl="5">
      <w:start w:val="1"/>
      <w:numFmt w:val="decimal"/>
      <w:lvlText w:val="%1-%2-%3.%4.%5.%6"/>
      <w:lvlJc w:val="left"/>
      <w:pPr>
        <w:tabs>
          <w:tab w:val="num" w:pos="5760"/>
        </w:tabs>
        <w:ind w:left="5760" w:hanging="5760"/>
      </w:pPr>
      <w:rPr>
        <w:rFonts w:hint="default"/>
      </w:rPr>
    </w:lvl>
    <w:lvl w:ilvl="6">
      <w:start w:val="1"/>
      <w:numFmt w:val="decimal"/>
      <w:lvlText w:val="%1-%2-%3.%4.%5.%6.%7"/>
      <w:lvlJc w:val="left"/>
      <w:pPr>
        <w:tabs>
          <w:tab w:val="num" w:pos="5760"/>
        </w:tabs>
        <w:ind w:left="5760" w:hanging="5760"/>
      </w:pPr>
      <w:rPr>
        <w:rFonts w:hint="default"/>
      </w:rPr>
    </w:lvl>
    <w:lvl w:ilvl="7">
      <w:start w:val="1"/>
      <w:numFmt w:val="decimal"/>
      <w:lvlText w:val="%1-%2-%3.%4.%5.%6.%7.%8"/>
      <w:lvlJc w:val="left"/>
      <w:pPr>
        <w:tabs>
          <w:tab w:val="num" w:pos="5760"/>
        </w:tabs>
        <w:ind w:left="5760" w:hanging="5760"/>
      </w:pPr>
      <w:rPr>
        <w:rFonts w:hint="default"/>
      </w:rPr>
    </w:lvl>
    <w:lvl w:ilvl="8">
      <w:start w:val="1"/>
      <w:numFmt w:val="decimal"/>
      <w:lvlText w:val="%1-%2-%3.%4.%5.%6.%7.%8.%9"/>
      <w:lvlJc w:val="left"/>
      <w:pPr>
        <w:tabs>
          <w:tab w:val="num" w:pos="5760"/>
        </w:tabs>
        <w:ind w:left="5760" w:hanging="5760"/>
      </w:pPr>
      <w:rPr>
        <w:rFonts w:hint="default"/>
      </w:rPr>
    </w:lvl>
  </w:abstractNum>
  <w:abstractNum w:abstractNumId="4" w15:restartNumberingAfterBreak="0">
    <w:nsid w:val="45AE5435"/>
    <w:multiLevelType w:val="hybridMultilevel"/>
    <w:tmpl w:val="698EF400"/>
    <w:lvl w:ilvl="0" w:tplc="AF84D6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D605C"/>
    <w:multiLevelType w:val="hybridMultilevel"/>
    <w:tmpl w:val="06E8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26A47"/>
    <w:multiLevelType w:val="hybridMultilevel"/>
    <w:tmpl w:val="45C0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98">
      <o:colormru v:ext="edit" colors="#006,#009,#004e4c,#003e3d"/>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51159"/>
    <w:rsid w:val="000257ED"/>
    <w:rsid w:val="0004452A"/>
    <w:rsid w:val="00045BEC"/>
    <w:rsid w:val="0004770C"/>
    <w:rsid w:val="00050615"/>
    <w:rsid w:val="0006053D"/>
    <w:rsid w:val="0006367F"/>
    <w:rsid w:val="00075C18"/>
    <w:rsid w:val="0008044D"/>
    <w:rsid w:val="00085F98"/>
    <w:rsid w:val="00095A8A"/>
    <w:rsid w:val="000B7630"/>
    <w:rsid w:val="000D10BA"/>
    <w:rsid w:val="000E12CF"/>
    <w:rsid w:val="00112F2B"/>
    <w:rsid w:val="00142DA6"/>
    <w:rsid w:val="001535E5"/>
    <w:rsid w:val="00161B13"/>
    <w:rsid w:val="001723F1"/>
    <w:rsid w:val="00172D39"/>
    <w:rsid w:val="001838A0"/>
    <w:rsid w:val="001C2407"/>
    <w:rsid w:val="001F2A7D"/>
    <w:rsid w:val="00202AAA"/>
    <w:rsid w:val="002128AD"/>
    <w:rsid w:val="002255D9"/>
    <w:rsid w:val="00232D26"/>
    <w:rsid w:val="0023597F"/>
    <w:rsid w:val="00253F1F"/>
    <w:rsid w:val="00296BF9"/>
    <w:rsid w:val="002A1A81"/>
    <w:rsid w:val="002B3071"/>
    <w:rsid w:val="002D61D7"/>
    <w:rsid w:val="0031527A"/>
    <w:rsid w:val="0032666C"/>
    <w:rsid w:val="003B1E1D"/>
    <w:rsid w:val="003C0FB5"/>
    <w:rsid w:val="003C54FA"/>
    <w:rsid w:val="003E06E5"/>
    <w:rsid w:val="00400B77"/>
    <w:rsid w:val="00400F45"/>
    <w:rsid w:val="0041005C"/>
    <w:rsid w:val="00415AC2"/>
    <w:rsid w:val="00437CDF"/>
    <w:rsid w:val="00451782"/>
    <w:rsid w:val="004626C1"/>
    <w:rsid w:val="00475396"/>
    <w:rsid w:val="00475A49"/>
    <w:rsid w:val="00476FA2"/>
    <w:rsid w:val="00481A5D"/>
    <w:rsid w:val="00494DDE"/>
    <w:rsid w:val="004A51D2"/>
    <w:rsid w:val="004B37AC"/>
    <w:rsid w:val="004B5870"/>
    <w:rsid w:val="004E55DF"/>
    <w:rsid w:val="004E6883"/>
    <w:rsid w:val="004F080F"/>
    <w:rsid w:val="004F1489"/>
    <w:rsid w:val="004F5162"/>
    <w:rsid w:val="004F7EBF"/>
    <w:rsid w:val="005109CC"/>
    <w:rsid w:val="00532479"/>
    <w:rsid w:val="00542534"/>
    <w:rsid w:val="005474AA"/>
    <w:rsid w:val="00594C98"/>
    <w:rsid w:val="00600324"/>
    <w:rsid w:val="00600CE0"/>
    <w:rsid w:val="006072CB"/>
    <w:rsid w:val="00611C11"/>
    <w:rsid w:val="00613E8F"/>
    <w:rsid w:val="00621E3E"/>
    <w:rsid w:val="00623703"/>
    <w:rsid w:val="006268CA"/>
    <w:rsid w:val="006309A0"/>
    <w:rsid w:val="00653F93"/>
    <w:rsid w:val="006540FD"/>
    <w:rsid w:val="00661A22"/>
    <w:rsid w:val="006902AF"/>
    <w:rsid w:val="006908D4"/>
    <w:rsid w:val="006918F8"/>
    <w:rsid w:val="00695016"/>
    <w:rsid w:val="006B2218"/>
    <w:rsid w:val="006B52D7"/>
    <w:rsid w:val="006B659D"/>
    <w:rsid w:val="006C01CE"/>
    <w:rsid w:val="006D6BD6"/>
    <w:rsid w:val="006F0FB1"/>
    <w:rsid w:val="006F5DD8"/>
    <w:rsid w:val="00713FE3"/>
    <w:rsid w:val="0076162D"/>
    <w:rsid w:val="00766CC1"/>
    <w:rsid w:val="0076798A"/>
    <w:rsid w:val="00795019"/>
    <w:rsid w:val="007954BD"/>
    <w:rsid w:val="007B31A1"/>
    <w:rsid w:val="007B4EDD"/>
    <w:rsid w:val="007D1642"/>
    <w:rsid w:val="007D44F8"/>
    <w:rsid w:val="007D62E0"/>
    <w:rsid w:val="007F1C55"/>
    <w:rsid w:val="00804D9A"/>
    <w:rsid w:val="00806DB1"/>
    <w:rsid w:val="00830F53"/>
    <w:rsid w:val="00840640"/>
    <w:rsid w:val="00864EAD"/>
    <w:rsid w:val="00880F51"/>
    <w:rsid w:val="008A4E40"/>
    <w:rsid w:val="008B057F"/>
    <w:rsid w:val="008B5F2F"/>
    <w:rsid w:val="008B7E03"/>
    <w:rsid w:val="008C28D5"/>
    <w:rsid w:val="008E3F9D"/>
    <w:rsid w:val="008E607B"/>
    <w:rsid w:val="009111CA"/>
    <w:rsid w:val="00920737"/>
    <w:rsid w:val="00922568"/>
    <w:rsid w:val="0097082D"/>
    <w:rsid w:val="00990021"/>
    <w:rsid w:val="009918C2"/>
    <w:rsid w:val="009A21C3"/>
    <w:rsid w:val="009C6227"/>
    <w:rsid w:val="009D0481"/>
    <w:rsid w:val="00A04F5D"/>
    <w:rsid w:val="00A20595"/>
    <w:rsid w:val="00A209AD"/>
    <w:rsid w:val="00A46D77"/>
    <w:rsid w:val="00A54838"/>
    <w:rsid w:val="00A5565A"/>
    <w:rsid w:val="00A66F14"/>
    <w:rsid w:val="00A8459D"/>
    <w:rsid w:val="00AA4A66"/>
    <w:rsid w:val="00AB739B"/>
    <w:rsid w:val="00AC55B3"/>
    <w:rsid w:val="00AD7283"/>
    <w:rsid w:val="00AE4A7E"/>
    <w:rsid w:val="00B14B57"/>
    <w:rsid w:val="00B7012B"/>
    <w:rsid w:val="00B71ABA"/>
    <w:rsid w:val="00B91333"/>
    <w:rsid w:val="00BB057A"/>
    <w:rsid w:val="00BC41FA"/>
    <w:rsid w:val="00BD59A9"/>
    <w:rsid w:val="00C12012"/>
    <w:rsid w:val="00C21EAE"/>
    <w:rsid w:val="00C40AB5"/>
    <w:rsid w:val="00C43487"/>
    <w:rsid w:val="00C51159"/>
    <w:rsid w:val="00C52A6D"/>
    <w:rsid w:val="00C8323F"/>
    <w:rsid w:val="00C9706C"/>
    <w:rsid w:val="00C9712F"/>
    <w:rsid w:val="00CC22EB"/>
    <w:rsid w:val="00CC35F0"/>
    <w:rsid w:val="00CD3C89"/>
    <w:rsid w:val="00CD74A5"/>
    <w:rsid w:val="00D27CDE"/>
    <w:rsid w:val="00D34F6D"/>
    <w:rsid w:val="00DA3B54"/>
    <w:rsid w:val="00DC45A2"/>
    <w:rsid w:val="00DD1158"/>
    <w:rsid w:val="00DE4C93"/>
    <w:rsid w:val="00E27EB3"/>
    <w:rsid w:val="00E3379C"/>
    <w:rsid w:val="00E35A50"/>
    <w:rsid w:val="00EA35E9"/>
    <w:rsid w:val="00EA5A09"/>
    <w:rsid w:val="00EC17AB"/>
    <w:rsid w:val="00EC5AA9"/>
    <w:rsid w:val="00ED0287"/>
    <w:rsid w:val="00ED3619"/>
    <w:rsid w:val="00F02266"/>
    <w:rsid w:val="00F17B7D"/>
    <w:rsid w:val="00F30119"/>
    <w:rsid w:val="00F32944"/>
    <w:rsid w:val="00F55992"/>
    <w:rsid w:val="00F7268E"/>
    <w:rsid w:val="00F815C5"/>
    <w:rsid w:val="00FB403D"/>
    <w:rsid w:val="00FC06E2"/>
    <w:rsid w:val="00FC1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006,#009,#004e4c,#003e3d"/>
    </o:shapedefaults>
    <o:shapelayout v:ext="edit">
      <o:idmap v:ext="edit" data="1"/>
    </o:shapelayout>
  </w:shapeDefaults>
  <w:decimalSymbol w:val="."/>
  <w:listSeparator w:val=","/>
  <w14:docId w14:val="4A65FC1F"/>
  <w15:docId w15:val="{BE6CBBFB-6AC7-4FBB-B8C3-E10871B9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5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379C"/>
    <w:pPr>
      <w:tabs>
        <w:tab w:val="center" w:pos="4320"/>
        <w:tab w:val="right" w:pos="8640"/>
      </w:tabs>
    </w:pPr>
  </w:style>
  <w:style w:type="paragraph" w:styleId="Footer">
    <w:name w:val="footer"/>
    <w:basedOn w:val="Normal"/>
    <w:rsid w:val="00E3379C"/>
    <w:pPr>
      <w:tabs>
        <w:tab w:val="center" w:pos="4320"/>
        <w:tab w:val="right" w:pos="8640"/>
      </w:tabs>
    </w:pPr>
  </w:style>
  <w:style w:type="character" w:styleId="Hyperlink">
    <w:name w:val="Hyperlink"/>
    <w:rsid w:val="00E3379C"/>
    <w:rPr>
      <w:color w:val="0000FF"/>
      <w:u w:val="single"/>
    </w:rPr>
  </w:style>
  <w:style w:type="paragraph" w:styleId="BalloonText">
    <w:name w:val="Balloon Text"/>
    <w:basedOn w:val="Normal"/>
    <w:semiHidden/>
    <w:rsid w:val="00E3379C"/>
    <w:rPr>
      <w:rFonts w:ascii="Tahoma" w:hAnsi="Tahoma" w:cs="Tahoma"/>
      <w:sz w:val="16"/>
      <w:szCs w:val="16"/>
    </w:rPr>
  </w:style>
  <w:style w:type="paragraph" w:customStyle="1" w:styleId="ec-p">
    <w:name w:val="ec-p"/>
    <w:basedOn w:val="Normal"/>
    <w:rsid w:val="00F30119"/>
    <w:pPr>
      <w:spacing w:before="100" w:beforeAutospacing="1" w:after="100" w:afterAutospacing="1"/>
    </w:pPr>
  </w:style>
  <w:style w:type="table" w:styleId="TableGrid">
    <w:name w:val="Table Grid"/>
    <w:basedOn w:val="TableNormal"/>
    <w:rsid w:val="00F3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00B77"/>
    <w:pPr>
      <w:spacing w:before="100" w:beforeAutospacing="1" w:after="100" w:afterAutospacing="1"/>
    </w:pPr>
  </w:style>
  <w:style w:type="paragraph" w:styleId="ListParagraph">
    <w:name w:val="List Paragraph"/>
    <w:basedOn w:val="Normal"/>
    <w:uiPriority w:val="34"/>
    <w:qFormat/>
    <w:rsid w:val="006B2218"/>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B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0506">
      <w:bodyDiv w:val="1"/>
      <w:marLeft w:val="0"/>
      <w:marRight w:val="0"/>
      <w:marTop w:val="0"/>
      <w:marBottom w:val="0"/>
      <w:divBdr>
        <w:top w:val="none" w:sz="0" w:space="0" w:color="auto"/>
        <w:left w:val="none" w:sz="0" w:space="0" w:color="auto"/>
        <w:bottom w:val="none" w:sz="0" w:space="0" w:color="auto"/>
        <w:right w:val="none" w:sz="0" w:space="0" w:color="auto"/>
      </w:divBdr>
    </w:div>
    <w:div w:id="1068924195">
      <w:bodyDiv w:val="1"/>
      <w:marLeft w:val="0"/>
      <w:marRight w:val="0"/>
      <w:marTop w:val="0"/>
      <w:marBottom w:val="0"/>
      <w:divBdr>
        <w:top w:val="none" w:sz="0" w:space="0" w:color="auto"/>
        <w:left w:val="none" w:sz="0" w:space="0" w:color="auto"/>
        <w:bottom w:val="none" w:sz="0" w:space="0" w:color="auto"/>
        <w:right w:val="none" w:sz="0" w:space="0" w:color="auto"/>
      </w:divBdr>
      <w:divsChild>
        <w:div w:id="1351712318">
          <w:marLeft w:val="0"/>
          <w:marRight w:val="0"/>
          <w:marTop w:val="0"/>
          <w:marBottom w:val="0"/>
          <w:divBdr>
            <w:top w:val="none" w:sz="0" w:space="0" w:color="auto"/>
            <w:left w:val="none" w:sz="0" w:space="0" w:color="auto"/>
            <w:bottom w:val="none" w:sz="0" w:space="0" w:color="auto"/>
            <w:right w:val="none" w:sz="0" w:space="0" w:color="auto"/>
          </w:divBdr>
          <w:divsChild>
            <w:div w:id="540171002">
              <w:marLeft w:val="15"/>
              <w:marRight w:val="15"/>
              <w:marTop w:val="0"/>
              <w:marBottom w:val="750"/>
              <w:divBdr>
                <w:top w:val="none" w:sz="0" w:space="0" w:color="auto"/>
                <w:left w:val="none" w:sz="0" w:space="0" w:color="auto"/>
                <w:bottom w:val="none" w:sz="0" w:space="0" w:color="auto"/>
                <w:right w:val="none" w:sz="0" w:space="0" w:color="auto"/>
              </w:divBdr>
              <w:divsChild>
                <w:div w:id="876624881">
                  <w:marLeft w:val="0"/>
                  <w:marRight w:val="0"/>
                  <w:marTop w:val="0"/>
                  <w:marBottom w:val="0"/>
                  <w:divBdr>
                    <w:top w:val="none" w:sz="0" w:space="0" w:color="auto"/>
                    <w:left w:val="none" w:sz="0" w:space="0" w:color="auto"/>
                    <w:bottom w:val="none" w:sz="0" w:space="0" w:color="auto"/>
                    <w:right w:val="none" w:sz="0" w:space="0" w:color="auto"/>
                  </w:divBdr>
                  <w:divsChild>
                    <w:div w:id="1485201493">
                      <w:marLeft w:val="0"/>
                      <w:marRight w:val="0"/>
                      <w:marTop w:val="0"/>
                      <w:marBottom w:val="0"/>
                      <w:divBdr>
                        <w:top w:val="none" w:sz="0" w:space="0" w:color="auto"/>
                        <w:left w:val="none" w:sz="0" w:space="0" w:color="auto"/>
                        <w:bottom w:val="none" w:sz="0" w:space="0" w:color="auto"/>
                        <w:right w:val="none" w:sz="0" w:space="0" w:color="auto"/>
                      </w:divBdr>
                      <w:divsChild>
                        <w:div w:id="282925767">
                          <w:marLeft w:val="0"/>
                          <w:marRight w:val="0"/>
                          <w:marTop w:val="0"/>
                          <w:marBottom w:val="0"/>
                          <w:divBdr>
                            <w:top w:val="none" w:sz="0" w:space="0" w:color="auto"/>
                            <w:left w:val="none" w:sz="0" w:space="0" w:color="auto"/>
                            <w:bottom w:val="none" w:sz="0" w:space="0" w:color="auto"/>
                            <w:right w:val="none" w:sz="0" w:space="0" w:color="auto"/>
                          </w:divBdr>
                          <w:divsChild>
                            <w:div w:id="2003776045">
                              <w:marLeft w:val="0"/>
                              <w:marRight w:val="0"/>
                              <w:marTop w:val="0"/>
                              <w:marBottom w:val="0"/>
                              <w:divBdr>
                                <w:top w:val="none" w:sz="0" w:space="0" w:color="auto"/>
                                <w:left w:val="none" w:sz="0" w:space="0" w:color="auto"/>
                                <w:bottom w:val="none" w:sz="0" w:space="0" w:color="auto"/>
                                <w:right w:val="none" w:sz="0" w:space="0" w:color="auto"/>
                              </w:divBdr>
                              <w:divsChild>
                                <w:div w:id="1185093453">
                                  <w:marLeft w:val="0"/>
                                  <w:marRight w:val="0"/>
                                  <w:marTop w:val="0"/>
                                  <w:marBottom w:val="0"/>
                                  <w:divBdr>
                                    <w:top w:val="none" w:sz="0" w:space="0" w:color="auto"/>
                                    <w:left w:val="none" w:sz="0" w:space="0" w:color="auto"/>
                                    <w:bottom w:val="none" w:sz="0" w:space="0" w:color="auto"/>
                                    <w:right w:val="none" w:sz="0" w:space="0" w:color="auto"/>
                                  </w:divBdr>
                                  <w:divsChild>
                                    <w:div w:id="736392696">
                                      <w:marLeft w:val="0"/>
                                      <w:marRight w:val="0"/>
                                      <w:marTop w:val="0"/>
                                      <w:marBottom w:val="0"/>
                                      <w:divBdr>
                                        <w:top w:val="none" w:sz="0" w:space="0" w:color="auto"/>
                                        <w:left w:val="none" w:sz="0" w:space="0" w:color="auto"/>
                                        <w:bottom w:val="none" w:sz="0" w:space="0" w:color="auto"/>
                                        <w:right w:val="none" w:sz="0" w:space="0" w:color="auto"/>
                                      </w:divBdr>
                                    </w:div>
                                    <w:div w:id="1696810203">
                                      <w:marLeft w:val="0"/>
                                      <w:marRight w:val="0"/>
                                      <w:marTop w:val="0"/>
                                      <w:marBottom w:val="0"/>
                                      <w:divBdr>
                                        <w:top w:val="none" w:sz="0" w:space="0" w:color="auto"/>
                                        <w:left w:val="none" w:sz="0" w:space="0" w:color="auto"/>
                                        <w:bottom w:val="none" w:sz="0" w:space="0" w:color="auto"/>
                                        <w:right w:val="none" w:sz="0" w:space="0" w:color="auto"/>
                                      </w:divBdr>
                                    </w:div>
                                    <w:div w:id="1798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848147">
      <w:bodyDiv w:val="1"/>
      <w:marLeft w:val="0"/>
      <w:marRight w:val="0"/>
      <w:marTop w:val="0"/>
      <w:marBottom w:val="0"/>
      <w:divBdr>
        <w:top w:val="none" w:sz="0" w:space="0" w:color="auto"/>
        <w:left w:val="none" w:sz="0" w:space="0" w:color="auto"/>
        <w:bottom w:val="none" w:sz="0" w:space="0" w:color="auto"/>
        <w:right w:val="none" w:sz="0" w:space="0" w:color="auto"/>
      </w:divBdr>
      <w:divsChild>
        <w:div w:id="897396724">
          <w:marLeft w:val="0"/>
          <w:marRight w:val="0"/>
          <w:marTop w:val="0"/>
          <w:marBottom w:val="0"/>
          <w:divBdr>
            <w:top w:val="none" w:sz="0" w:space="0" w:color="auto"/>
            <w:left w:val="none" w:sz="0" w:space="0" w:color="auto"/>
            <w:bottom w:val="none" w:sz="0" w:space="0" w:color="auto"/>
            <w:right w:val="none" w:sz="0" w:space="0" w:color="auto"/>
          </w:divBdr>
          <w:divsChild>
            <w:div w:id="1314022352">
              <w:marLeft w:val="15"/>
              <w:marRight w:val="15"/>
              <w:marTop w:val="0"/>
              <w:marBottom w:val="750"/>
              <w:divBdr>
                <w:top w:val="none" w:sz="0" w:space="0" w:color="auto"/>
                <w:left w:val="none" w:sz="0" w:space="0" w:color="auto"/>
                <w:bottom w:val="none" w:sz="0" w:space="0" w:color="auto"/>
                <w:right w:val="none" w:sz="0" w:space="0" w:color="auto"/>
              </w:divBdr>
              <w:divsChild>
                <w:div w:id="2056083010">
                  <w:marLeft w:val="0"/>
                  <w:marRight w:val="0"/>
                  <w:marTop w:val="0"/>
                  <w:marBottom w:val="0"/>
                  <w:divBdr>
                    <w:top w:val="none" w:sz="0" w:space="0" w:color="auto"/>
                    <w:left w:val="none" w:sz="0" w:space="0" w:color="auto"/>
                    <w:bottom w:val="none" w:sz="0" w:space="0" w:color="auto"/>
                    <w:right w:val="none" w:sz="0" w:space="0" w:color="auto"/>
                  </w:divBdr>
                  <w:divsChild>
                    <w:div w:id="1644894740">
                      <w:marLeft w:val="0"/>
                      <w:marRight w:val="0"/>
                      <w:marTop w:val="0"/>
                      <w:marBottom w:val="0"/>
                      <w:divBdr>
                        <w:top w:val="none" w:sz="0" w:space="0" w:color="auto"/>
                        <w:left w:val="none" w:sz="0" w:space="0" w:color="auto"/>
                        <w:bottom w:val="none" w:sz="0" w:space="0" w:color="auto"/>
                        <w:right w:val="none" w:sz="0" w:space="0" w:color="auto"/>
                      </w:divBdr>
                      <w:divsChild>
                        <w:div w:id="1819300342">
                          <w:marLeft w:val="0"/>
                          <w:marRight w:val="0"/>
                          <w:marTop w:val="0"/>
                          <w:marBottom w:val="0"/>
                          <w:divBdr>
                            <w:top w:val="none" w:sz="0" w:space="0" w:color="auto"/>
                            <w:left w:val="none" w:sz="0" w:space="0" w:color="auto"/>
                            <w:bottom w:val="none" w:sz="0" w:space="0" w:color="auto"/>
                            <w:right w:val="none" w:sz="0" w:space="0" w:color="auto"/>
                          </w:divBdr>
                          <w:divsChild>
                            <w:div w:id="1657685143">
                              <w:marLeft w:val="0"/>
                              <w:marRight w:val="0"/>
                              <w:marTop w:val="0"/>
                              <w:marBottom w:val="0"/>
                              <w:divBdr>
                                <w:top w:val="none" w:sz="0" w:space="0" w:color="auto"/>
                                <w:left w:val="none" w:sz="0" w:space="0" w:color="auto"/>
                                <w:bottom w:val="none" w:sz="0" w:space="0" w:color="auto"/>
                                <w:right w:val="none" w:sz="0" w:space="0" w:color="auto"/>
                              </w:divBdr>
                              <w:divsChild>
                                <w:div w:id="564683829">
                                  <w:marLeft w:val="0"/>
                                  <w:marRight w:val="0"/>
                                  <w:marTop w:val="0"/>
                                  <w:marBottom w:val="0"/>
                                  <w:divBdr>
                                    <w:top w:val="none" w:sz="0" w:space="0" w:color="auto"/>
                                    <w:left w:val="none" w:sz="0" w:space="0" w:color="auto"/>
                                    <w:bottom w:val="none" w:sz="0" w:space="0" w:color="auto"/>
                                    <w:right w:val="none" w:sz="0" w:space="0" w:color="auto"/>
                                  </w:divBdr>
                                  <w:divsChild>
                                    <w:div w:id="666980374">
                                      <w:marLeft w:val="0"/>
                                      <w:marRight w:val="0"/>
                                      <w:marTop w:val="0"/>
                                      <w:marBottom w:val="0"/>
                                      <w:divBdr>
                                        <w:top w:val="none" w:sz="0" w:space="0" w:color="auto"/>
                                        <w:left w:val="none" w:sz="0" w:space="0" w:color="auto"/>
                                        <w:bottom w:val="none" w:sz="0" w:space="0" w:color="auto"/>
                                        <w:right w:val="none" w:sz="0" w:space="0" w:color="auto"/>
                                      </w:divBdr>
                                    </w:div>
                                    <w:div w:id="892233866">
                                      <w:marLeft w:val="0"/>
                                      <w:marRight w:val="0"/>
                                      <w:marTop w:val="0"/>
                                      <w:marBottom w:val="0"/>
                                      <w:divBdr>
                                        <w:top w:val="none" w:sz="0" w:space="0" w:color="auto"/>
                                        <w:left w:val="none" w:sz="0" w:space="0" w:color="auto"/>
                                        <w:bottom w:val="none" w:sz="0" w:space="0" w:color="auto"/>
                                        <w:right w:val="none" w:sz="0" w:space="0" w:color="auto"/>
                                      </w:divBdr>
                                    </w:div>
                                    <w:div w:id="15374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RET/Pages/Tax-Remedy-Inform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p0004aplh\WM0_shared_01\Departments\InvestmentStrategies\Quarter_End_Material\Quarterly_Investment_Review\Historical\2021%20Q1\Market%20charts_Q1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'Market Performance'!$B$4</c:f>
              <c:strCache>
                <c:ptCount val="1"/>
                <c:pt idx="0">
                  <c:v>US Equities</c:v>
                </c:pt>
              </c:strCache>
            </c:strRef>
          </c:tx>
          <c:spPr>
            <a:solidFill>
              <a:schemeClr val="accent6">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Performance'!$C$4,'Market Performance'!$H$4)</c:f>
              <c:numCache>
                <c:formatCode>General</c:formatCode>
                <c:ptCount val="2"/>
                <c:pt idx="0">
                  <c:v>6.1749700000000001</c:v>
                </c:pt>
                <c:pt idx="1">
                  <c:v>18.398779999999999</c:v>
                </c:pt>
              </c:numCache>
            </c:numRef>
          </c:val>
          <c:extLst>
            <c:ext xmlns:c16="http://schemas.microsoft.com/office/drawing/2014/chart" uri="{C3380CC4-5D6E-409C-BE32-E72D297353CC}">
              <c16:uniqueId val="{00000000-7BC1-4720-87AB-2034689A50AA}"/>
            </c:ext>
          </c:extLst>
        </c:ser>
        <c:ser>
          <c:idx val="1"/>
          <c:order val="1"/>
          <c:tx>
            <c:strRef>
              <c:f>'Market Performance'!$B$5</c:f>
              <c:strCache>
                <c:ptCount val="1"/>
                <c:pt idx="0">
                  <c:v>Int'l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Performance'!$C$5,'Market Performance'!$H$5)</c:f>
              <c:numCache>
                <c:formatCode>General</c:formatCode>
                <c:ptCount val="2"/>
                <c:pt idx="0">
                  <c:v>3.5994199999999998</c:v>
                </c:pt>
                <c:pt idx="1">
                  <c:v>8.2791499999999996</c:v>
                </c:pt>
              </c:numCache>
            </c:numRef>
          </c:val>
          <c:extLst>
            <c:ext xmlns:c16="http://schemas.microsoft.com/office/drawing/2014/chart" uri="{C3380CC4-5D6E-409C-BE32-E72D297353CC}">
              <c16:uniqueId val="{00000001-7BC1-4720-87AB-2034689A50AA}"/>
            </c:ext>
          </c:extLst>
        </c:ser>
        <c:ser>
          <c:idx val="2"/>
          <c:order val="2"/>
          <c:tx>
            <c:strRef>
              <c:f>'Market Performance'!$B$6</c:f>
              <c:strCache>
                <c:ptCount val="1"/>
                <c:pt idx="0">
                  <c:v>EM Equities</c:v>
                </c:pt>
              </c:strCache>
            </c:strRef>
          </c:tx>
          <c:spPr>
            <a:solidFill>
              <a:schemeClr val="accent6">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Performance'!$C$6,'Market Performance'!$H$6)</c:f>
              <c:numCache>
                <c:formatCode>General</c:formatCode>
                <c:ptCount val="2"/>
                <c:pt idx="0">
                  <c:v>2.3427899999999999</c:v>
                </c:pt>
                <c:pt idx="1">
                  <c:v>18.68722</c:v>
                </c:pt>
              </c:numCache>
            </c:numRef>
          </c:val>
          <c:extLst>
            <c:ext xmlns:c16="http://schemas.microsoft.com/office/drawing/2014/chart" uri="{C3380CC4-5D6E-409C-BE32-E72D297353CC}">
              <c16:uniqueId val="{00000002-7BC1-4720-87AB-2034689A50AA}"/>
            </c:ext>
          </c:extLst>
        </c:ser>
        <c:ser>
          <c:idx val="3"/>
          <c:order val="3"/>
          <c:tx>
            <c:strRef>
              <c:f>'Market Performance'!$B$7</c:f>
              <c:strCache>
                <c:ptCount val="1"/>
                <c:pt idx="0">
                  <c:v>US Bonds</c:v>
                </c:pt>
              </c:strCache>
            </c:strRef>
          </c:tx>
          <c:spPr>
            <a:solidFill>
              <a:schemeClr val="accent1">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Performance'!$C$7,'Market Performance'!$H$7)</c:f>
              <c:numCache>
                <c:formatCode>General</c:formatCode>
                <c:ptCount val="2"/>
                <c:pt idx="0">
                  <c:v>-3.37249</c:v>
                </c:pt>
                <c:pt idx="1">
                  <c:v>7.50664</c:v>
                </c:pt>
              </c:numCache>
            </c:numRef>
          </c:val>
          <c:extLst>
            <c:ext xmlns:c16="http://schemas.microsoft.com/office/drawing/2014/chart" uri="{C3380CC4-5D6E-409C-BE32-E72D297353CC}">
              <c16:uniqueId val="{00000003-7BC1-4720-87AB-2034689A50AA}"/>
            </c:ext>
          </c:extLst>
        </c:ser>
        <c:ser>
          <c:idx val="4"/>
          <c:order val="4"/>
          <c:tx>
            <c:strRef>
              <c:f>'Market Performance'!$B$8</c:f>
              <c:strCache>
                <c:ptCount val="1"/>
                <c:pt idx="0">
                  <c:v>Int'l Bonds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Performance'!$C$8,'Market Performance'!$H$8)</c:f>
              <c:numCache>
                <c:formatCode>General</c:formatCode>
                <c:ptCount val="2"/>
                <c:pt idx="0">
                  <c:v>-5.2906599999999999</c:v>
                </c:pt>
                <c:pt idx="1">
                  <c:v>10.106479999999999</c:v>
                </c:pt>
              </c:numCache>
            </c:numRef>
          </c:val>
          <c:extLst>
            <c:ext xmlns:c16="http://schemas.microsoft.com/office/drawing/2014/chart" uri="{C3380CC4-5D6E-409C-BE32-E72D297353CC}">
              <c16:uniqueId val="{00000004-7BC1-4720-87AB-2034689A50AA}"/>
            </c:ext>
          </c:extLst>
        </c:ser>
        <c:ser>
          <c:idx val="5"/>
          <c:order val="5"/>
          <c:tx>
            <c:strRef>
              <c:f>'Market Performance'!$B$9</c:f>
              <c:strCache>
                <c:ptCount val="1"/>
                <c:pt idx="0">
                  <c:v>EM Bonds</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Performance'!$C$3,'Market Performance'!$H$3)</c:f>
              <c:strCache>
                <c:ptCount val="2"/>
                <c:pt idx="0">
                  <c:v>Q1</c:v>
                </c:pt>
                <c:pt idx="1">
                  <c:v>2020</c:v>
                </c:pt>
              </c:strCache>
            </c:strRef>
          </c:cat>
          <c:val>
            <c:numRef>
              <c:f>('Market Performance'!$C$9,'Market Performance'!$H$9)</c:f>
              <c:numCache>
                <c:formatCode>General</c:formatCode>
                <c:ptCount val="2"/>
                <c:pt idx="0">
                  <c:v>-3.4810099999999999</c:v>
                </c:pt>
                <c:pt idx="1">
                  <c:v>6.5205299999999999</c:v>
                </c:pt>
              </c:numCache>
            </c:numRef>
          </c:val>
          <c:extLst>
            <c:ext xmlns:c16="http://schemas.microsoft.com/office/drawing/2014/chart" uri="{C3380CC4-5D6E-409C-BE32-E72D297353CC}">
              <c16:uniqueId val="{00000005-7BC1-4720-87AB-2034689A50AA}"/>
            </c:ext>
          </c:extLst>
        </c:ser>
        <c:dLbls>
          <c:showLegendKey val="0"/>
          <c:showVal val="0"/>
          <c:showCatName val="0"/>
          <c:showSerName val="0"/>
          <c:showPercent val="0"/>
          <c:showBubbleSize val="0"/>
        </c:dLbls>
        <c:gapWidth val="219"/>
        <c:overlap val="-27"/>
        <c:axId val="1898385567"/>
        <c:axId val="1858452879"/>
      </c:barChart>
      <c:catAx>
        <c:axId val="1898385567"/>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8452879"/>
        <c:crosses val="autoZero"/>
        <c:auto val="1"/>
        <c:lblAlgn val="ctr"/>
        <c:lblOffset val="100"/>
        <c:noMultiLvlLbl val="0"/>
      </c:catAx>
      <c:valAx>
        <c:axId val="1858452879"/>
        <c:scaling>
          <c:orientation val="minMax"/>
        </c:scaling>
        <c:delete val="1"/>
        <c:axPos val="l"/>
        <c:numFmt formatCode="General" sourceLinked="1"/>
        <c:majorTickMark val="none"/>
        <c:minorTickMark val="none"/>
        <c:tickLblPos val="nextTo"/>
        <c:crossAx val="1898385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Thursday, October 09, 2003</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October 09, 2003</dc:title>
  <dc:creator>eshrader</dc:creator>
  <cp:lastModifiedBy>Kim Weible</cp:lastModifiedBy>
  <cp:revision>7</cp:revision>
  <cp:lastPrinted>2018-10-18T17:07:00Z</cp:lastPrinted>
  <dcterms:created xsi:type="dcterms:W3CDTF">2021-04-20T18:30:00Z</dcterms:created>
  <dcterms:modified xsi:type="dcterms:W3CDTF">2021-05-04T16:37:00Z</dcterms:modified>
</cp:coreProperties>
</file>